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РАБОЧАЯ РОГРАММА ЭЛЕКТИВНОГО КУРСА 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«ОСНОВЫ ФИНАНСОВОЙ ГРАМОТНОСТИ»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Актуальность программы продиктована развитием финансовой системы и появлением широкого спектра новых сложных финансовых продуктов и услуг, которые ставят перед гражданами задачи, к решению которых они не всегда готовы.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Финансовая грамотность – необходимое условие жизни в современном мире, поскольку финансовый рынок предоставляет значительно больше возможностей по управлению собственными средствами, чем 5–10 лет назад, и такие понятия, как потребительский кредит, ипотека, банковские депозиты, плотно вошли в нашу повседневную жизнь. Однако в настоящий момент времени недостаточно тех финансовых знаний, которыми мы располагаем. При этом нужно учитывать, что сегодняшние учащиеся – это завтрашние активные участники финансового рынка. Поэтому, если мы сегодня воспитаем наших детей финансово грамотными, значит, завтра мы получим добросовестных налогоплательщиков, ответственных заемщиков, грамотных вкладчиков.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основам финансовой грамотности в школе является актуальным, так как создает условия для развития личности подростка, мотивации к обучению, для формирования социального и профессионального самоопределения, а также является профилактикой асоциального поведения. Именно овладение основами финансовой грамотности поможет учащимся применить полученные знания в жизни и успешно социализироваться в обществе.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Программа рассчитана на уровень образования СОО и подходит для преподавания в 10–11-х классах любой профильной направленности. Содержание программы существенно расширяет и дополняет знания старшеклассников об управлении семейным бюджетом и личными финансами, функционировании фондового рынка и банковской системы, полученные при изучении базовых курсов обществознания и технологии, а выполнение творческих работ, практических заданий и итогового проекта позволит подросткам приобрести опыт принятия экономических решений в области управления личными финансами, применить полученные знания в реальной жизни.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Рабочая программа составлена в соответствии с УМК «Основы финансовой грамотности», авторы А. Чумаченко и В. Горяев, а также в соответствии со следующими документами: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пунктом 9</w:t>
      </w:r>
      <w:r>
        <w:rPr>
          <w:rFonts w:hAnsi="Times New Roman" w:cs="Times New Roman"/>
          <w:color w:val="000000"/>
          <w:sz w:val="24"/>
          <w:szCs w:val="24"/>
        </w:rPr>
        <w:t xml:space="preserve"> статьи 2 </w:t>
      </w:r>
      <w:r>
        <w:rPr>
          <w:rFonts w:hAnsi="Times New Roman" w:cs="Times New Roman"/>
          <w:color w:val="000000"/>
          <w:sz w:val="24"/>
          <w:szCs w:val="24"/>
        </w:rPr>
        <w:t>Федерального закона от 29.12.2012 № 273-ФЗ</w:t>
      </w:r>
      <w:r>
        <w:rPr>
          <w:rFonts w:hAnsi="Times New Roman" w:cs="Times New Roman"/>
          <w:color w:val="000000"/>
          <w:sz w:val="24"/>
          <w:szCs w:val="24"/>
        </w:rPr>
        <w:t xml:space="preserve"> «Об образовании в Российской Федерации»;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стратегией повышения финансовой грамотности в Российской Федерации на 2017–2023 годы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утвержденной </w:t>
      </w:r>
      <w:r>
        <w:rPr>
          <w:rFonts w:hAnsi="Times New Roman" w:cs="Times New Roman"/>
          <w:color w:val="000000"/>
          <w:sz w:val="24"/>
          <w:szCs w:val="24"/>
        </w:rPr>
        <w:t>распоряжением Правительства от 25.09.2017 № 2039-р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Федеральным государственным образовательным стандартом основного общего образования, утвержденным </w:t>
      </w:r>
      <w:r>
        <w:rPr>
          <w:rFonts w:hAnsi="Times New Roman" w:cs="Times New Roman"/>
          <w:color w:val="000000"/>
          <w:sz w:val="24"/>
          <w:szCs w:val="24"/>
        </w:rPr>
        <w:t>приказом Минобрнауки от 17.12.2010 №1897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Федеральным государственным образовательным стандартом среднего общего образования, утвержденным </w:t>
      </w:r>
      <w:r>
        <w:rPr>
          <w:rFonts w:hAnsi="Times New Roman" w:cs="Times New Roman"/>
          <w:color w:val="000000"/>
          <w:sz w:val="24"/>
          <w:szCs w:val="24"/>
        </w:rPr>
        <w:t>приказом Минобрнауки от 17.05.2012 № 413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Цель курса: </w:t>
      </w:r>
      <w:r>
        <w:rPr>
          <w:rFonts w:hAnsi="Times New Roman" w:cs="Times New Roman"/>
          <w:color w:val="000000"/>
          <w:sz w:val="24"/>
          <w:szCs w:val="24"/>
        </w:rPr>
        <w:t>дать практические знания о финансовой системе, которые нужны современному человеку каждый день.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 изучение курса отводится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часов.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Планируемые результаты обучения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Требования к личностным результатам: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понимание принципов функционирования финансовой системы современного государства;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понимание личной ответственности за решения, принимаемые в процессе взаимодействия с финансовыми институтами;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понимание прав и обязанностей в сфере финансов.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Требования к метапредметным результатам: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владение умением решать практические финансовые задачи;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владение информацией финансового характера, своевременный анализ и адаптация к собственным потребностям;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определение стратегических целей в области управления личными финансами;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постановка стратегических задач для достижения личных финансовых целей;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планирование использования различных инструментов в процессе реализации стратегических целей и тактических задач в области управления личными финансами;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владение коммуникативными компетенциями;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нахождение источников информации для достижения поставленных целей и решения задач, коммуникативное взаимодействие с окружающими для подбора информации и обмена ею;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 и интерпретация финансовой информации из различных источников.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Требования к предметным результатам: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владение основными понятиями и инструментами взаимодействия с участниками финансовых отношений;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владение основными принципами принятия оптимальных финансовых решений в процессе своей жизнедеятельности.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СОДЕРЖАНИЕ ПРОГРАММЫ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Освоение содержания элективного курса «Основы финансовой грамотности» осуществляется с опорой на межпредметные связи с курсами базового уровня обществознания, истории, экономики, права.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Раздел 1. Личное финансовое планирование.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Человеческий капитал. Ваши активы и пассивы. Учет активов и пассивов. Доходы и расходы семьи. Составление личного финансового плана. Цели, способы достижения финансовых целей. Стратегия достижения финансовых целей.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Раздел 2. Депозит.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Деньги. Функции денег – накопление. Депозит и его природа. Преимущества и недостатки депозита. Управление рисками по депозиту.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Раздел 3. Кредит.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Банковский кредит и его виды. Основные характеристики кредита. Выбор наиболее выгодного кредита. Типичные ошибки при использовании кредита.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Раздел 4. Расчетно-кассовые операции.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Хранение, обмен и перевод денег. Различные виды платежных средств. Дорожные чеки и банковские карты. Формы дистанционного банковского обслуживания. Мобильный банкинг.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Раздел 5. Страхование.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Понятие страхования. Участники страхования. Виды страхования. Использование страхования в повседневной жизни. Страховой полис.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Раздел 6. Инвестиции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Понятие инвестиции. Как работают инвестиции. Инвестиции в бизнес. Выбор активов. Финансовые посредники. Инвестиционные предпочтения. Инвестиционный портфель.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Раздел 7. Пенсии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Пенсия и ее виды. Пенсионная система Российской Федерации. Корпоративные пенсионные программы. Добровольные частные пенсии. Накопление и сбережение пенсий.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Раздел 8. Налоги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Роль налогов в жизни человека и государства. Налоги и их виды. Налог на доходы физических лиц. Налоговая декларация. Налог на имущество.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Раздел 9. Финансовые махинации.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Махинации с банковскими картами. Махинации с кредитами. Махинации с инвестициями.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ТЕМАТИЧЕСКОЕ ПЛАНИРОВАНИЕ 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 УКАЗАНИЕМ КОЛИЧЕСТВА ЧАСОВ НА ИЗУЧЕНИЕ КАЖДОЙ ТЕМЫ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Тематическое планирование по курсу составлено с учетом рабочей программы воспитания.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70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>
        <w:trPr>
          <w:trHeight w:val="0"/>
        </w:trPr>
        <w:tc>
          <w:tcPr>
            <w:tcW w:w="70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Личное финансовое планирование</w:t>
            </w:r>
          </w:p>
        </w:tc>
        <w:tc>
          <w:tcPr>
            <w:tcW w:w="2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70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Депозит</w:t>
            </w:r>
          </w:p>
        </w:tc>
        <w:tc>
          <w:tcPr>
            <w:tcW w:w="2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70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Кредит</w:t>
            </w:r>
          </w:p>
        </w:tc>
        <w:tc>
          <w:tcPr>
            <w:tcW w:w="2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70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Расчетно-кассовые операции</w:t>
            </w:r>
          </w:p>
        </w:tc>
        <w:tc>
          <w:tcPr>
            <w:tcW w:w="2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70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Страхование</w:t>
            </w:r>
          </w:p>
        </w:tc>
        <w:tc>
          <w:tcPr>
            <w:tcW w:w="2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70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Инвестиции</w:t>
            </w:r>
          </w:p>
        </w:tc>
        <w:tc>
          <w:tcPr>
            <w:tcW w:w="2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70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Пенсии</w:t>
            </w:r>
          </w:p>
        </w:tc>
        <w:tc>
          <w:tcPr>
            <w:tcW w:w="2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70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Налоги</w:t>
            </w:r>
          </w:p>
        </w:tc>
        <w:tc>
          <w:tcPr>
            <w:tcW w:w="2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70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Финансовые махинации</w:t>
            </w:r>
          </w:p>
        </w:tc>
        <w:tc>
          <w:tcPr>
            <w:tcW w:w="2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70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Итоговое тестирование</w:t>
            </w:r>
          </w:p>
        </w:tc>
        <w:tc>
          <w:tcPr>
            <w:tcW w:w="2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70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2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70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aa7474f20e394b3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